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pageBreakBefore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jc w:val="center"/>
        <w:rPr/>
      </w:pPr>
      <w:r w:rsidDel="00000000" w:rsidR="00000000" w:rsidRPr="00000000">
        <w:rPr>
          <w:rFonts w:ascii="Gungsuh" w:cs="Gungsuh" w:eastAsia="Gungsuh" w:hAnsi="Gungsuh"/>
          <w:rtl w:val="0"/>
        </w:rPr>
        <w:t xml:space="preserve">鼻ホタルの充電の仕方 </w:t>
      </w:r>
    </w:p>
    <w:p w:rsidR="00000000" w:rsidDel="00000000" w:rsidP="00000000" w:rsidRDefault="00000000" w:rsidRPr="00000000" w14:paraId="00000002">
      <w:pPr>
        <w:pageBreakBefore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jc w:val="center"/>
        <w:rPr/>
      </w:pPr>
      <w:r w:rsidDel="00000000" w:rsidR="00000000" w:rsidRPr="00000000">
        <w:rPr>
          <w:rtl w:val="0"/>
        </w:rPr>
        <w:t xml:space="preserve">how to charge hanahotaru(Nose LED)</w:t>
      </w:r>
    </w:p>
    <w:p w:rsidR="00000000" w:rsidDel="00000000" w:rsidP="00000000" w:rsidRDefault="00000000" w:rsidRPr="00000000" w14:paraId="00000003">
      <w:pPr>
        <w:pageBreakBefore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jc w:val="center"/>
        <w:rPr/>
      </w:pPr>
      <w:r w:rsidDel="00000000" w:rsidR="00000000" w:rsidRPr="00000000">
        <w:rPr/>
        <w:drawing>
          <wp:inline distB="0" distT="0" distL="0" distR="0">
            <wp:extent cx="915228" cy="1111914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5228" cy="11119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hanging="360"/>
        <w:jc w:val="both"/>
        <w:rPr/>
      </w:pPr>
      <w:r w:rsidDel="00000000" w:rsidR="00000000" w:rsidRPr="00000000">
        <w:rPr>
          <w:rFonts w:ascii="Gungsuh" w:cs="Gungsuh" w:eastAsia="Gungsuh" w:hAnsi="Gungsuh"/>
          <w:b w:val="0"/>
          <w:bCs w:val="0"/>
          <w:sz w:val="24"/>
          <w:szCs w:val="24"/>
          <w:rtl w:val="0"/>
        </w:rPr>
        <w:t xml:space="preserve">分解 disasseble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firstLine="0"/>
        <w:jc w:val="both"/>
        <w:rPr/>
      </w:pPr>
      <w:r w:rsidDel="00000000" w:rsidR="00000000" w:rsidRPr="00000000">
        <w:rPr>
          <w:rFonts w:ascii="Gungsuh" w:cs="Gungsuh" w:eastAsia="Gungsuh" w:hAnsi="Gungsuh"/>
          <w:b w:val="0"/>
          <w:bCs w:val="0"/>
          <w:sz w:val="24"/>
          <w:szCs w:val="24"/>
          <w:rtl w:val="0"/>
        </w:rPr>
        <w:t xml:space="preserve">机の上に鼻ホタルを置き、付属のインシュロックを指で押さえつけるようにして、左右に引っ張ります。Put hanahotaru on desk. And pull with insulation 2 lock wires.(please pull slowly)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firstLine="0"/>
        <w:jc w:val="both"/>
        <w:rPr/>
      </w:pPr>
      <w:r w:rsidDel="00000000" w:rsidR="00000000" w:rsidRPr="00000000">
        <w:rPr>
          <w:rFonts w:ascii="Domine" w:cs="Domine" w:eastAsia="Domine" w:hAnsi="Domine"/>
          <w:b w:val="0"/>
          <w:bCs w:val="0"/>
          <w:sz w:val="24"/>
          <w:szCs w:val="24"/>
        </w:rPr>
        <w:drawing>
          <wp:inline distB="0" distT="0" distL="0" distR="0">
            <wp:extent cx="3430224" cy="1535658"/>
            <wp:effectExtent b="0" l="0" r="0" t="0"/>
            <wp:docPr id="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30224" cy="153565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hanging="360"/>
        <w:jc w:val="both"/>
        <w:rPr/>
      </w:pPr>
      <w:r w:rsidDel="00000000" w:rsidR="00000000" w:rsidRPr="00000000">
        <w:rPr>
          <w:rFonts w:ascii="Gungsuh" w:cs="Gungsuh" w:eastAsia="Gungsuh" w:hAnsi="Gungsuh"/>
          <w:b w:val="0"/>
          <w:bCs w:val="0"/>
          <w:sz w:val="24"/>
          <w:szCs w:val="24"/>
          <w:rtl w:val="0"/>
        </w:rPr>
        <w:t xml:space="preserve">充電器への取り付け Attach hanahotaru to chagner.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firstLine="0"/>
        <w:jc w:val="both"/>
        <w:rPr/>
      </w:pPr>
      <w:r w:rsidDel="00000000" w:rsidR="00000000" w:rsidRPr="00000000">
        <w:rPr>
          <w:rFonts w:ascii="Gungsuh" w:cs="Gungsuh" w:eastAsia="Gungsuh" w:hAnsi="Gungsuh"/>
          <w:b w:val="0"/>
          <w:bCs w:val="0"/>
          <w:sz w:val="24"/>
          <w:szCs w:val="24"/>
          <w:rtl w:val="0"/>
        </w:rPr>
        <w:t xml:space="preserve">図のようにコネクタに取り付けた後、USBに差し込みます。8時間程度充電されます。</w:t>
        <w:br w:type="textWrapping"/>
        <w:t xml:space="preserve">回路がわは取り付けなくてもよいですが、紛失を防ぐため取り付ける事をお勧めします。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firstLine="0"/>
        <w:jc w:val="both"/>
        <w:rPr/>
      </w:pPr>
      <w:r w:rsidDel="00000000" w:rsidR="00000000" w:rsidRPr="00000000">
        <w:rPr>
          <w:rFonts w:ascii="Domine" w:cs="Domine" w:eastAsia="Domine" w:hAnsi="Domine"/>
          <w:b w:val="0"/>
          <w:bCs w:val="0"/>
          <w:sz w:val="24"/>
          <w:szCs w:val="24"/>
          <w:rtl w:val="0"/>
        </w:rPr>
        <w:t xml:space="preserve">Attach like this (Be careful the direction).And plug charger to USB port. Charge time is about 8hour.I recommend to attach circuit parts not only the battery. To avoid lost it.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firstLine="0"/>
        <w:jc w:val="both"/>
        <w:rPr/>
      </w:pPr>
      <w:r w:rsidDel="00000000" w:rsidR="00000000" w:rsidRPr="00000000">
        <w:rPr>
          <w:rFonts w:ascii="Domine" w:cs="Domine" w:eastAsia="Domine" w:hAnsi="Domine"/>
          <w:b w:val="0"/>
          <w:bCs w:val="0"/>
          <w:sz w:val="24"/>
          <w:szCs w:val="24"/>
        </w:rPr>
        <w:drawing>
          <wp:inline distB="0" distT="0" distL="0" distR="0">
            <wp:extent cx="2172632" cy="1391513"/>
            <wp:effectExtent b="0" l="0" r="0" t="0"/>
            <wp:docPr id="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2632" cy="13915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Domine" w:cs="Domine" w:eastAsia="Domine" w:hAnsi="Domine"/>
          <w:b w:val="0"/>
          <w:bCs w:val="0"/>
          <w:sz w:val="24"/>
          <w:szCs w:val="24"/>
        </w:rPr>
        <w:drawing>
          <wp:inline distB="0" distT="0" distL="0" distR="0">
            <wp:extent cx="2160251" cy="1402269"/>
            <wp:effectExtent b="0" l="0" r="0" t="0"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60251" cy="140226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hanging="360"/>
        <w:jc w:val="both"/>
        <w:rPr/>
      </w:pPr>
      <w:r w:rsidDel="00000000" w:rsidR="00000000" w:rsidRPr="00000000">
        <w:rPr>
          <w:rFonts w:ascii="Gungsuh" w:cs="Gungsuh" w:eastAsia="Gungsuh" w:hAnsi="Gungsuh"/>
          <w:b w:val="0"/>
          <w:bCs w:val="0"/>
          <w:sz w:val="24"/>
          <w:szCs w:val="24"/>
          <w:rtl w:val="0"/>
        </w:rPr>
        <w:t xml:space="preserve">保管starge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firstLine="0"/>
        <w:jc w:val="both"/>
        <w:rPr/>
      </w:pPr>
      <w:r w:rsidDel="00000000" w:rsidR="00000000" w:rsidRPr="00000000">
        <w:rPr>
          <w:rFonts w:ascii="Gungsuh" w:cs="Gungsuh" w:eastAsia="Gungsuh" w:hAnsi="Gungsuh"/>
          <w:b w:val="0"/>
          <w:bCs w:val="0"/>
          <w:sz w:val="24"/>
          <w:szCs w:val="24"/>
          <w:rtl w:val="0"/>
        </w:rPr>
        <w:t xml:space="preserve">電池のピンを1列ずらして充電器にとりつけて保管してください。（導通しない状態になります）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firstLine="0"/>
        <w:jc w:val="both"/>
        <w:rPr/>
      </w:pPr>
      <w:bookmarkStart w:colFirst="0" w:colLast="0" w:name="_gjdgxs" w:id="0"/>
      <w:bookmarkEnd w:id="0"/>
      <w:r w:rsidDel="00000000" w:rsidR="00000000" w:rsidRPr="00000000">
        <w:rPr>
          <w:rFonts w:ascii="Domine" w:cs="Domine" w:eastAsia="Domine" w:hAnsi="Domine"/>
          <w:b w:val="0"/>
          <w:bCs w:val="0"/>
          <w:sz w:val="24"/>
          <w:szCs w:val="24"/>
          <w:rtl w:val="0"/>
        </w:rPr>
        <w:t xml:space="preserve">Please shift the battery connector.(To avoid over discharge and over charge)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0" w:firstLine="0"/>
        <w:jc w:val="both"/>
        <w:rPr/>
      </w:pPr>
      <w:r w:rsidDel="00000000" w:rsidR="00000000" w:rsidRPr="00000000">
        <w:rPr>
          <w:rFonts w:ascii="Domine" w:cs="Domine" w:eastAsia="Domine" w:hAnsi="Domine"/>
          <w:b w:val="0"/>
          <w:bCs w:val="0"/>
          <w:sz w:val="24"/>
          <w:szCs w:val="24"/>
        </w:rPr>
        <w:drawing>
          <wp:inline distB="0" distT="0" distL="0" distR="0">
            <wp:extent cx="4001482" cy="1716483"/>
            <wp:effectExtent b="0" l="0" r="0" t="0"/>
            <wp:docPr id="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01482" cy="17164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40" w:w="11900" w:orient="portrait"/>
      <w:pgMar w:bottom="567" w:top="567" w:left="567" w:right="567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Gungsuh"/>
  <w:font w:name="Arial"/>
  <w:font w:name="Domine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・"/>
      <w:lvlJc w:val="left"/>
      <w:pPr>
        <w:ind w:left="360" w:hanging="360"/>
      </w:pPr>
      <w:rPr>
        <w:rFonts w:ascii="Arial" w:cs="Arial" w:eastAsia="Arial" w:hAnsi="Arial"/>
      </w:rPr>
    </w:lvl>
    <w:lvl w:ilvl="1">
      <w:start w:val="1"/>
      <w:numFmt w:val="bullet"/>
      <w:lvlText w:val="➢"/>
      <w:lvlJc w:val="left"/>
      <w:pPr>
        <w:ind w:left="960" w:hanging="480"/>
      </w:pPr>
      <w:rPr>
        <w:rFonts w:ascii="Arial" w:cs="Arial" w:eastAsia="Arial" w:hAnsi="Arial"/>
      </w:rPr>
    </w:lvl>
    <w:lvl w:ilvl="2">
      <w:start w:val="1"/>
      <w:numFmt w:val="bullet"/>
      <w:lvlText w:val="✧"/>
      <w:lvlJc w:val="left"/>
      <w:pPr>
        <w:ind w:left="1440" w:hanging="480"/>
      </w:pPr>
      <w:rPr>
        <w:rFonts w:ascii="Arial" w:cs="Arial" w:eastAsia="Arial" w:hAnsi="Arial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Arial" w:cs="Arial" w:eastAsia="Arial" w:hAnsi="Arial"/>
      </w:rPr>
    </w:lvl>
    <w:lvl w:ilvl="4">
      <w:start w:val="1"/>
      <w:numFmt w:val="bullet"/>
      <w:lvlText w:val="➢"/>
      <w:lvlJc w:val="left"/>
      <w:pPr>
        <w:ind w:left="2400" w:hanging="480"/>
      </w:pPr>
      <w:rPr>
        <w:rFonts w:ascii="Arial" w:cs="Arial" w:eastAsia="Arial" w:hAnsi="Arial"/>
      </w:rPr>
    </w:lvl>
    <w:lvl w:ilvl="5">
      <w:start w:val="1"/>
      <w:numFmt w:val="bullet"/>
      <w:lvlText w:val="✧"/>
      <w:lvlJc w:val="left"/>
      <w:pPr>
        <w:ind w:left="2880" w:hanging="480"/>
      </w:pPr>
      <w:rPr>
        <w:rFonts w:ascii="Arial" w:cs="Arial" w:eastAsia="Arial" w:hAnsi="Arial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Arial" w:cs="Arial" w:eastAsia="Arial" w:hAnsi="Arial"/>
      </w:rPr>
    </w:lvl>
    <w:lvl w:ilvl="7">
      <w:start w:val="1"/>
      <w:numFmt w:val="bullet"/>
      <w:lvlText w:val="➢"/>
      <w:lvlJc w:val="left"/>
      <w:pPr>
        <w:ind w:left="3840" w:hanging="480"/>
      </w:pPr>
      <w:rPr>
        <w:rFonts w:ascii="Arial" w:cs="Arial" w:eastAsia="Arial" w:hAnsi="Arial"/>
      </w:rPr>
    </w:lvl>
    <w:lvl w:ilvl="8">
      <w:start w:val="1"/>
      <w:numFmt w:val="bullet"/>
      <w:lvlText w:val="✧"/>
      <w:lvlJc w:val="left"/>
      <w:pPr>
        <w:ind w:left="4320" w:hanging="480"/>
      </w:pPr>
      <w:rPr>
        <w:rFonts w:ascii="Arial" w:cs="Arial" w:eastAsia="Arial" w:hAnsi="Arial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Domine" w:cs="Domine" w:eastAsia="Domine" w:hAnsi="Domine"/>
        <w:sz w:val="24"/>
        <w:szCs w:val="24"/>
        <w:lang w:val="en"/>
      </w:rPr>
    </w:rPrDefault>
    <w:pPrDefault>
      <w:pPr>
        <w:widowControl w:val="0"/>
        <w:jc w:val="both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3.png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5.png"/><Relationship Id="rId8" Type="http://schemas.openxmlformats.org/officeDocument/2006/relationships/image" Target="media/image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Domine-regular.ttf"/><Relationship Id="rId2" Type="http://schemas.openxmlformats.org/officeDocument/2006/relationships/font" Target="fonts/Domine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